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10607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/>
        <w:keepLines/>
        <w:widowControl w:val="0"/>
        <w:spacing w:before="0" w:after="0" w:line="240" w:lineRule="auto"/>
        <w:jc w:val="center"/>
        <w:outlineLvl w:val="0"/>
        <w:rPr>
          <w:rFonts w:hint="eastAsia" w:asciiTheme="minorHAnsi" w:hAnsiTheme="minorHAnsi" w:eastAsiaTheme="minorEastAsia" w:cstheme="minorBidi"/>
          <w:b/>
          <w:kern w:val="44"/>
          <w:sz w:val="36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36"/>
          <w:szCs w:val="21"/>
          <w:lang w:val="en-US" w:eastAsia="zh-CN" w:bidi="ar-SA"/>
        </w:rPr>
        <w:t>西安交通工程学院“一师一优课”教师线下说课评审标准</w:t>
      </w:r>
      <w:bookmarkEnd w:id="0"/>
    </w:p>
    <w:tbl>
      <w:tblPr>
        <w:tblStyle w:val="4"/>
        <w:tblW w:w="14078" w:type="dxa"/>
        <w:jc w:val="center"/>
        <w:tblBorders>
          <w:top w:val="single" w:color="auto" w:sz="12" w:space="0"/>
          <w:left w:val="single" w:color="FFFFFF" w:sz="12" w:space="0"/>
          <w:bottom w:val="single" w:color="auto" w:sz="12" w:space="0"/>
          <w:right w:val="single" w:color="FFFFFF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1665"/>
        <w:gridCol w:w="8906"/>
        <w:gridCol w:w="726"/>
        <w:gridCol w:w="899"/>
      </w:tblGrid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88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一级指标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观  测  点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标准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课程认知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课程毕业要求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准确把握课程对专业毕业要求的支撑程度，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符合该专业人才培养目标要求。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课程性质定位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正确理解该课程在该专业课程体系中的位置、作用及与其它课程之间的关系。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学情分析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学习状态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正确分析学生的知识能力水平、学生的心理特点以及在学习中的困难。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学习基础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学生对于本课程开设所需的知识储备、学习经验。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课程设计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（25分）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课程目标设计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明确该课程培养的知识目标、能力目标和素质目标。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课程内容改革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资源援引主讲教材内容不高于50%。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 w:hRule="exact"/>
          <w:jc w:val="center"/>
        </w:trPr>
        <w:tc>
          <w:tcPr>
            <w:tcW w:w="1882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课程教学设计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根据课程内容改革、课程特点以及现有教学条件进行课程教学的总体设计，例如，依托项目式教学内容开展的项目式教学、依托企业实际案例开展的案例式教学以及与课程相关的学科竞赛、创新创业项目等内容开展的以赛代练、任务驱动式教学等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exact"/>
          <w:jc w:val="center"/>
        </w:trPr>
        <w:tc>
          <w:tcPr>
            <w:tcW w:w="1882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教学过程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（30分）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教学模式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恰当的运用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以学生为中心的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问题探究式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混合式、对分课堂、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翻转课堂等教学模式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教学方法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恰当运用多种先进的教学方法，能够充分利用课程平台组织教学。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教学手段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将传统的教学手段与现代化教学手段有机融合，实现最佳的课堂教学效果。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  <w:jc w:val="center"/>
        </w:trPr>
        <w:tc>
          <w:tcPr>
            <w:tcW w:w="1882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课程考核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建立多元化的课程考核体系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提高学生课堂学习参与度，促进学生自主学习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效果与反思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课程评价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学生对于课程改革内容接受程度；学习状态的转变程度；学习效果的改善程度。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exact"/>
          <w:jc w:val="center"/>
        </w:trPr>
        <w:tc>
          <w:tcPr>
            <w:tcW w:w="18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反思与改进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教学得失阐述真实；产生原因分析清晰；改进措施有效可行。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  <w:jc w:val="center"/>
        </w:trPr>
        <w:tc>
          <w:tcPr>
            <w:tcW w:w="18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教师基本素质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语言表达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语言简练清晰、层次清楚、逻辑性强，富有感染力。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 w:hRule="exact"/>
          <w:jc w:val="center"/>
        </w:trPr>
        <w:tc>
          <w:tcPr>
            <w:tcW w:w="18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仪表举止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仪表端庄、稳重，教态大方，表情丰富。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  <w:jc w:val="center"/>
        </w:trPr>
        <w:tc>
          <w:tcPr>
            <w:tcW w:w="3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特色与创新（10分，附加分）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有改革意识，在教学方法运用、教学手段的选择方面有新颖独到之处。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1" w:name="_GoBack"/>
      <w:bookmarkEnd w:id="1"/>
    </w:p>
    <w:sectPr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63C94"/>
    <w:rsid w:val="16CC59BC"/>
    <w:rsid w:val="48C63C94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2022-03-09T09:04:00Z</dcterms:created>
  <dc:creator>妍</dc:creator>
  <cp:lastModifiedBy>妍</cp:lastModifiedBy>
  <dcterms:modified xsi:type="dcterms:W3CDTF">2022-03-09T09:06:18Z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8BB53C7CEFD3474BBDA415162281D4A5</vt:lpwstr>
  </property>
</Properties>
</file>