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  <w:r>
        <w:rPr>
          <w:color w:val="CC0000"/>
        </w:rPr>
        <w:pict>
          <v:shape id="_x0000_s1026" o:spid="_x0000_s1026" o:spt="136" type="#_x0000_t136" style="position:absolute;left:0pt;margin-left:53.95pt;margin-top:10.65pt;height:39.6pt;width:423pt;mso-wrap-distance-bottom:0pt;mso-wrap-distance-left:9pt;mso-wrap-distance-right:9pt;mso-wrap-distance-top:0pt;z-index:251659264;mso-width-relative:page;mso-height-relative:page;" fillcolor="#FF0000" filled="t" stroked="t" coordsize="21600,21600" adj="10769">
            <v:path/>
            <v:fill on="t" color2="#FFFFFF" focussize="0,0"/>
            <v:stroke weight="0pt" color="#FF0000"/>
            <v:imagedata o:title=""/>
            <o:lock v:ext="edit" aspectratio="f"/>
            <v:textpath on="t" fitshape="t" fitpath="t" trim="t" xscale="f" string="西安交通工程学院马克思主义学院" style="font-family:方正小标宋简体;font-size:20pt;v-rotate-letters:f;v-same-letter-heights:f;v-text-align:center;v-text-spacing:78650f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86360</wp:posOffset>
                </wp:positionV>
                <wp:extent cx="6057900" cy="0"/>
                <wp:effectExtent l="0" t="28575" r="7620" b="3238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.25pt;margin-top:6.8pt;height:0pt;width:477pt;z-index:251660288;mso-width-relative:page;mso-height-relative:page;" filled="f" stroked="t" coordsize="21600,21600" o:gfxdata="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xom21gAAAAgBAAAPAAAAAAAAAAEAIAAAACIAAABk&#10;cnMvZG93bnJldi54bWxQSwECFAAUAAAACACHTuJAGnZxZAgCAAADBAAADgAAAAAAAAABACAAAAAl&#10;AQAAZHJzL2Uyb0RvYy54bWxQSwUGAAAAAAYABgBZAQAAn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spacing w:before="11"/>
        <w:rPr>
          <w:rFonts w:hint="default" w:eastAsia="宋体"/>
          <w:sz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0" w:after="330" w:line="700" w:lineRule="exact"/>
        <w:ind w:left="0" w:right="1111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lang w:val="en-US" w:eastAsia="zh-CN" w:bidi="ar-SA"/>
        </w:rPr>
        <w:t xml:space="preserve">       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lang w:val="en-US" w:eastAsia="zh-CN" w:bidi="ar-SA"/>
        </w:rPr>
        <w:t>马克思主义学院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0" w:after="330" w:line="700" w:lineRule="exact"/>
        <w:ind w:left="0" w:right="1111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sz w:val="44"/>
          <w:szCs w:val="44"/>
          <w:lang w:val="en-US" w:eastAsia="zh-CN" w:bidi="ar-SA"/>
        </w:rPr>
        <w:t xml:space="preserve">        关于开展 2021 年“优秀教师”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40" w:after="330" w:line="700" w:lineRule="exact"/>
        <w:ind w:left="0" w:right="1111"/>
        <w:jc w:val="center"/>
        <w:textAlignment w:val="auto"/>
        <w:outlineLvl w:val="0"/>
        <w:rPr>
          <w:sz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w w:val="95"/>
          <w:kern w:val="44"/>
          <w:sz w:val="44"/>
          <w:szCs w:val="44"/>
          <w:lang w:val="en-US" w:eastAsia="zh-CN" w:bidi="ar-SA"/>
        </w:rPr>
        <w:t xml:space="preserve">     评选活动的通知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1" w:line="560" w:lineRule="exact"/>
        <w:ind w:left="709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各</w:t>
      </w:r>
      <w:r>
        <w:rPr>
          <w:rFonts w:hint="eastAsia" w:ascii="仿宋" w:hAnsi="仿宋" w:eastAsia="仿宋" w:cs="仿宋"/>
          <w:lang w:val="en-US" w:eastAsia="zh-CN"/>
        </w:rPr>
        <w:t>教研室</w:t>
      </w:r>
      <w:r>
        <w:rPr>
          <w:rFonts w:hint="eastAsia" w:ascii="仿宋" w:hAnsi="仿宋" w:eastAsia="仿宋" w:cs="仿宋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709" w:right="545" w:firstLine="638"/>
        <w:textAlignment w:val="auto"/>
        <w:rPr>
          <w:rFonts w:hint="eastAsia" w:ascii="仿宋" w:hAnsi="仿宋" w:eastAsia="仿宋" w:cs="仿宋"/>
          <w:spacing w:val="1"/>
        </w:rPr>
      </w:pPr>
      <w:r>
        <w:rPr>
          <w:rFonts w:hint="eastAsia" w:ascii="仿宋" w:hAnsi="仿宋" w:eastAsia="仿宋" w:cs="仿宋"/>
          <w:spacing w:val="1"/>
        </w:rPr>
        <w:t>为了表彰先进，进一步调动教师工作积极性和创造性，以评促建，推动教师队伍整体素质的提升，</w:t>
      </w:r>
      <w:r>
        <w:rPr>
          <w:rFonts w:hint="eastAsia" w:ascii="仿宋" w:hAnsi="仿宋" w:eastAsia="仿宋" w:cs="仿宋"/>
          <w:spacing w:val="1"/>
          <w:lang w:val="en-US" w:eastAsia="zh-CN"/>
        </w:rPr>
        <w:t>马克思主义学院</w:t>
      </w:r>
      <w:r>
        <w:rPr>
          <w:rFonts w:hint="eastAsia" w:ascii="仿宋" w:hAnsi="仿宋" w:eastAsia="仿宋" w:cs="仿宋"/>
          <w:spacing w:val="1"/>
        </w:rPr>
        <w:t>决定开展</w:t>
      </w:r>
      <w:r>
        <w:rPr>
          <w:rFonts w:hint="eastAsia" w:ascii="仿宋" w:hAnsi="仿宋" w:eastAsia="仿宋" w:cs="仿宋"/>
          <w:spacing w:val="1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1"/>
        </w:rPr>
        <w:t>20</w:t>
      </w:r>
      <w:r>
        <w:rPr>
          <w:rFonts w:hint="default" w:ascii="仿宋" w:hAnsi="仿宋" w:eastAsia="仿宋" w:cs="仿宋"/>
          <w:spacing w:val="1"/>
        </w:rPr>
        <w:t>21</w:t>
      </w:r>
      <w:r>
        <w:rPr>
          <w:rFonts w:hint="eastAsia" w:ascii="仿宋" w:hAnsi="仿宋" w:eastAsia="仿宋" w:cs="仿宋"/>
          <w:spacing w:val="1"/>
          <w:lang w:val="en-US" w:eastAsia="zh-CN"/>
        </w:rPr>
        <w:t xml:space="preserve"> </w:t>
      </w:r>
      <w:r>
        <w:rPr>
          <w:rFonts w:hint="default" w:ascii="仿宋" w:hAnsi="仿宋" w:eastAsia="仿宋" w:cs="仿宋"/>
          <w:spacing w:val="1"/>
        </w:rPr>
        <w:t>年</w:t>
      </w:r>
      <w:r>
        <w:rPr>
          <w:rFonts w:hint="eastAsia" w:ascii="仿宋" w:hAnsi="仿宋" w:eastAsia="仿宋" w:cs="仿宋"/>
          <w:spacing w:val="1"/>
          <w:lang w:eastAsia="zh-CN"/>
        </w:rPr>
        <w:t>“</w:t>
      </w:r>
      <w:r>
        <w:rPr>
          <w:rFonts w:hint="default" w:ascii="仿宋" w:hAnsi="仿宋" w:eastAsia="仿宋" w:cs="仿宋"/>
          <w:spacing w:val="1"/>
        </w:rPr>
        <w:t>优秀教师</w:t>
      </w:r>
      <w:r>
        <w:rPr>
          <w:rFonts w:hint="eastAsia" w:ascii="仿宋" w:hAnsi="仿宋" w:eastAsia="仿宋" w:cs="仿宋"/>
          <w:spacing w:val="1"/>
          <w:lang w:eastAsia="zh-CN"/>
        </w:rPr>
        <w:t>”</w:t>
      </w:r>
      <w:r>
        <w:rPr>
          <w:rFonts w:hint="default" w:ascii="仿宋" w:hAnsi="仿宋" w:eastAsia="仿宋" w:cs="仿宋"/>
          <w:spacing w:val="1"/>
        </w:rPr>
        <w:t>评选活动，现将有关事项通知如下</w:t>
      </w:r>
      <w:r>
        <w:rPr>
          <w:rFonts w:hint="eastAsia" w:ascii="仿宋" w:hAnsi="仿宋" w:eastAsia="仿宋" w:cs="仿宋"/>
          <w:spacing w:val="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一、指导思想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708" w:right="545" w:firstLine="638"/>
        <w:textAlignment w:val="auto"/>
        <w:rPr>
          <w:rFonts w:hint="eastAsia" w:ascii="仿宋" w:hAnsi="仿宋" w:eastAsia="仿宋" w:cs="仿宋"/>
          <w:spacing w:val="1"/>
        </w:rPr>
      </w:pPr>
      <w:r>
        <w:rPr>
          <w:rFonts w:hint="eastAsia" w:ascii="仿宋" w:hAnsi="仿宋" w:eastAsia="仿宋" w:cs="仿宋"/>
          <w:spacing w:val="1"/>
          <w:lang w:val="en-US" w:eastAsia="zh-CN"/>
        </w:rPr>
        <w:t>各教研室</w:t>
      </w:r>
      <w:r>
        <w:rPr>
          <w:rFonts w:hint="eastAsia" w:ascii="仿宋" w:hAnsi="仿宋" w:eastAsia="仿宋" w:cs="仿宋"/>
          <w:spacing w:val="1"/>
        </w:rPr>
        <w:t>推荐人选须认真学习贯彻习近平新时代中国特色社会主义思想，忠诚于党和人民的教育事业，全面贯彻党的教育方针，师德高尚，教书育人成绩显著，贡献突出，事迹感人，群众公认。各</w:t>
      </w:r>
      <w:r>
        <w:rPr>
          <w:rFonts w:hint="eastAsia" w:ascii="仿宋" w:hAnsi="仿宋" w:eastAsia="仿宋" w:cs="仿宋"/>
          <w:spacing w:val="1"/>
          <w:lang w:val="en-US" w:eastAsia="zh-CN"/>
        </w:rPr>
        <w:t>教研室</w:t>
      </w:r>
      <w:r>
        <w:rPr>
          <w:rFonts w:hint="eastAsia" w:ascii="仿宋" w:hAnsi="仿宋" w:eastAsia="仿宋" w:cs="仿宋"/>
          <w:spacing w:val="1"/>
        </w:rPr>
        <w:t>对照评选条件可推荐</w:t>
      </w:r>
      <w:r>
        <w:rPr>
          <w:rFonts w:hint="eastAsia" w:ascii="仿宋" w:hAnsi="仿宋" w:eastAsia="仿宋" w:cs="仿宋"/>
          <w:spacing w:val="1"/>
          <w:lang w:eastAsia="zh-CN"/>
        </w:rPr>
        <w:t>“</w:t>
      </w:r>
      <w:r>
        <w:rPr>
          <w:rFonts w:hint="eastAsia" w:ascii="仿宋" w:hAnsi="仿宋" w:eastAsia="仿宋" w:cs="仿宋"/>
          <w:spacing w:val="1"/>
        </w:rPr>
        <w:t>优秀教师</w:t>
      </w:r>
      <w:r>
        <w:rPr>
          <w:rFonts w:hint="eastAsia" w:ascii="仿宋" w:hAnsi="仿宋" w:eastAsia="仿宋" w:cs="仿宋"/>
          <w:spacing w:val="1"/>
          <w:lang w:eastAsia="zh-CN"/>
        </w:rPr>
        <w:t>”</w:t>
      </w:r>
      <w:r>
        <w:rPr>
          <w:rFonts w:hint="eastAsia" w:ascii="仿宋" w:hAnsi="仿宋" w:eastAsia="仿宋" w:cs="仿宋"/>
          <w:spacing w:val="1"/>
          <w:lang w:val="en-US" w:eastAsia="zh-CN"/>
        </w:rPr>
        <w:t>2名</w:t>
      </w:r>
      <w:r>
        <w:rPr>
          <w:rFonts w:hint="default" w:ascii="仿宋" w:hAnsi="仿宋" w:eastAsia="仿宋" w:cs="仿宋"/>
          <w:spacing w:val="1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二、评选对象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708" w:right="545" w:firstLine="638"/>
        <w:textAlignment w:val="auto"/>
        <w:rPr>
          <w:rFonts w:hint="eastAsia" w:ascii="仿宋" w:hAnsi="仿宋" w:eastAsia="仿宋" w:cs="仿宋"/>
          <w:spacing w:val="1"/>
          <w:lang w:eastAsia="zh-CN"/>
        </w:rPr>
      </w:pPr>
      <w:r>
        <w:rPr>
          <w:rFonts w:hint="eastAsia" w:ascii="仿宋" w:hAnsi="仿宋" w:eastAsia="仿宋" w:cs="仿宋"/>
          <w:spacing w:val="1"/>
        </w:rPr>
        <w:t>在一线从事教育教学工作的在岗专任教师，且在我校从事教学工作满 1 年以上</w:t>
      </w:r>
      <w:r>
        <w:rPr>
          <w:rFonts w:hint="eastAsia" w:ascii="仿宋" w:hAnsi="仿宋" w:eastAsia="仿宋" w:cs="仿宋"/>
          <w:spacing w:val="1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三、评选标准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60" w:lineRule="exact"/>
        <w:ind w:left="708" w:right="699" w:firstLine="624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师德高尚，堪称楷模。工作踏实、作风正派，关心学生，尊重学生，爱护学生。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08" w:right="543" w:firstLine="624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爱岗敬业，乐于奉献。热爱教育事业，热爱本职工作，把教书育人作为自己一生的追求；不怕艰苦，淡泊名利，乐于奉献，无怨无悔。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08" w:right="543" w:firstLine="624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教风严谨，业务精湛。注重培养学生学习兴趣，激励学生主动学习，引导和培养学生创新性思维；从严律己，以身作则，注重自身学习，不断提高教学能力和业务水平。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08" w:right="543" w:firstLine="624"/>
        <w:jc w:val="left"/>
        <w:textAlignment w:val="auto"/>
        <w:rPr>
          <w:sz w:val="24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敢于创新，业绩显著。具有较先进的教育理念和教学方法，积极参加课程改革、课题研究，勇于承担学校的教研任务，教育教学成绩、效果突出。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80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560" w:lineRule="exact"/>
        <w:ind w:left="1808" w:right="0" w:hanging="477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近一年年度考核均为良好以上等次。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四、组织机构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708" w:right="545" w:firstLine="638"/>
        <w:textAlignment w:val="auto"/>
        <w:rPr>
          <w:rFonts w:hint="eastAsia" w:ascii="黑体" w:eastAsia="黑体"/>
        </w:rPr>
      </w:pPr>
      <w:r>
        <w:rPr>
          <w:rFonts w:hint="eastAsia" w:ascii="仿宋" w:hAnsi="仿宋" w:eastAsia="仿宋" w:cs="仿宋"/>
          <w:spacing w:val="1"/>
          <w:lang w:val="en-US" w:eastAsia="zh-CN"/>
        </w:rPr>
        <w:t>马克思主义学院成立评选工作委员会，由院长、副院长、教研室主任和教学秘书组成，统筹评选和推荐“优秀教师”工作。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五、实施步骤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60" w:lineRule="exact"/>
        <w:ind w:left="708" w:right="692" w:firstLine="624"/>
        <w:jc w:val="both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基层推荐。各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教研室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要在广泛宣传，充分酝酿，征求师生意见的基础上，根据公开、公平、公正的原则，通过自评互评、民主推荐、学生参评、集体决定的方式推选出“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优秀教师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”候选人，经公示无异议后，填写《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马克思主义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学院 2021 年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优秀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教师推荐表》（见附件），并附个人事迹材料（事迹材料要求真实丰富、主题突出、条理清晰，可附加信件、照片、证书、新闻报道等），提交至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马克思主义学院办公室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651" w:right="0" w:hanging="320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院部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评选。评选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小组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组织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老师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结合候选人事迹及评议情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560" w:lineRule="exact"/>
        <w:ind w:left="708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况，提出评选结果。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708" w:right="699" w:firstLine="644" w:firstLineChars="200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3.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公示结果。评选结果公示 5 个工作日无异议、经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院长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同意后，确定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马克思主义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学院 2021 年“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优秀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教师”人选，并授予“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优秀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教师”称号。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332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六、有关要求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after="0" w:line="560" w:lineRule="exact"/>
        <w:ind w:left="708" w:right="692" w:firstLine="624"/>
        <w:jc w:val="left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高度重视，周密部署。“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优秀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教师”评选活动是一项严肃的工作，具有重要的意义，各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教研室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一定要高度重视。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4" w:after="0" w:line="560" w:lineRule="exact"/>
        <w:ind w:left="708" w:right="692" w:firstLine="624"/>
        <w:jc w:val="both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注重宣传，扩大影响。各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教研室要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把评选活动与学习典型结合起来，大力宣传评选活动的目的意义、评选标准、活动步骤，广泛开展“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优秀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教师”主题宣传教育活动，积极营造“学先进事迹、创先进业绩、争先进荣誉”的浓厚氛围，不断增 强评选活动的影响力和感召力。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08" w:right="698" w:firstLine="624"/>
        <w:jc w:val="both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坚持标准，确保实效。各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教研室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要组织教师按标准推荐、自荐。推荐过程要注重道德品质、突出工作业绩和先进典型的引领示范作用，要广泛听取群众意见，推荐最优秀的教师参加评选活动。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1" w:line="560" w:lineRule="exact"/>
        <w:ind w:left="1332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（四）推荐名额。</w:t>
      </w:r>
    </w:p>
    <w:tbl>
      <w:tblPr>
        <w:tblStyle w:val="5"/>
        <w:tblW w:w="0" w:type="auto"/>
        <w:tblInd w:w="10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2"/>
        <w:gridCol w:w="1905"/>
        <w:gridCol w:w="1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37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125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560" w:lineRule="exact"/>
              <w:ind w:left="640" w:firstLine="966" w:firstLineChars="300"/>
              <w:jc w:val="both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 w:bidi="zh-CN"/>
              </w:rPr>
              <w:t>教研室</w:t>
            </w:r>
          </w:p>
        </w:tc>
        <w:tc>
          <w:tcPr>
            <w:tcW w:w="1905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560" w:lineRule="exact"/>
              <w:ind w:right="288" w:firstLine="644" w:firstLineChars="200"/>
              <w:jc w:val="both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  <w:t>名额</w:t>
            </w:r>
          </w:p>
        </w:tc>
        <w:tc>
          <w:tcPr>
            <w:tcW w:w="17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560" w:lineRule="exact"/>
              <w:ind w:firstLine="644" w:firstLineChars="200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37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560" w:lineRule="exact"/>
              <w:ind w:left="14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 w:bidi="zh-CN"/>
              </w:rPr>
              <w:t>基础与概论教研室</w:t>
            </w:r>
          </w:p>
        </w:tc>
        <w:tc>
          <w:tcPr>
            <w:tcW w:w="19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0" w:line="560" w:lineRule="exact"/>
              <w:ind w:left="9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1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 w:bidi="zh-CN"/>
              </w:rPr>
              <w:t>2</w:t>
            </w:r>
          </w:p>
        </w:tc>
        <w:tc>
          <w:tcPr>
            <w:tcW w:w="17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37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4" w:line="560" w:lineRule="exact"/>
              <w:ind w:left="14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 w:bidi="zh-CN"/>
              </w:rPr>
              <w:t>原理与纲要教研室</w:t>
            </w:r>
          </w:p>
        </w:tc>
        <w:tc>
          <w:tcPr>
            <w:tcW w:w="1905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74" w:line="560" w:lineRule="exact"/>
              <w:ind w:left="9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spacing w:val="1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en-US" w:eastAsia="zh-CN" w:bidi="zh-CN"/>
              </w:rPr>
              <w:t>2</w:t>
            </w:r>
          </w:p>
        </w:tc>
        <w:tc>
          <w:tcPr>
            <w:tcW w:w="178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pacing w:val="1"/>
                <w:sz w:val="32"/>
                <w:szCs w:val="32"/>
                <w:lang w:val="zh-CN" w:eastAsia="zh-CN" w:bidi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560" w:lineRule="exact"/>
        <w:ind w:left="708" w:right="699" w:firstLine="624"/>
        <w:jc w:val="both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请各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教研室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于 2022 年 1 月 14 日前将《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马克思主义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学院 2021 年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优秀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教师推荐表》（见附件）、个人事迹材料、1 张生活照和个人简介（200字内）打包发送至邮箱，纸质版盖章报送至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办公室</w:t>
      </w: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0" w:line="560" w:lineRule="exact"/>
        <w:ind w:left="1347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联系人：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马婷婷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1347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  <w:t>联系电话：</w:t>
      </w: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18192316050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60" w:lineRule="exact"/>
        <w:ind w:left="1347"/>
        <w:textAlignment w:val="auto"/>
        <w:rPr>
          <w:rFonts w:hint="default" w:ascii="仿宋" w:hAnsi="仿宋" w:eastAsia="仿宋" w:cs="仿宋"/>
          <w:spacing w:val="1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电子邮箱：406215094@qq.com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1" w:line="560" w:lineRule="exact"/>
        <w:ind w:left="1990" w:leftChars="641" w:right="4313" w:hanging="644" w:hangingChars="200"/>
        <w:textAlignment w:val="auto"/>
        <w:rPr>
          <w:rFonts w:hint="default" w:ascii="仿宋" w:hAnsi="仿宋" w:eastAsia="仿宋" w:cs="仿宋"/>
          <w:spacing w:val="1"/>
          <w:sz w:val="32"/>
          <w:szCs w:val="32"/>
          <w:lang w:val="en-US" w:eastAsia="zh-CN" w:bidi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  <w:lang w:val="en-US" w:eastAsia="zh-CN" w:bidi="zh-CN"/>
        </w:rPr>
        <w:t>办公地点：7-314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560" w:lineRule="exact"/>
        <w:ind w:left="708" w:right="699" w:firstLine="624"/>
        <w:jc w:val="both"/>
        <w:textAlignment w:val="auto"/>
        <w:rPr>
          <w:rFonts w:hint="eastAsia" w:ascii="仿宋" w:hAnsi="仿宋" w:eastAsia="仿宋" w:cs="仿宋"/>
          <w:spacing w:val="1"/>
          <w:sz w:val="32"/>
          <w:szCs w:val="32"/>
          <w:lang w:val="zh-CN" w:eastAsia="zh-CN" w:bidi="zh-CN"/>
        </w:rPr>
      </w:pPr>
    </w:p>
    <w:p>
      <w:pPr>
        <w:pStyle w:val="3"/>
        <w:spacing w:before="1"/>
        <w:rPr>
          <w:sz w:val="44"/>
        </w:rPr>
      </w:pPr>
    </w:p>
    <w:p>
      <w:pPr>
        <w:pStyle w:val="3"/>
        <w:spacing w:before="151" w:line="328" w:lineRule="auto"/>
        <w:ind w:left="708" w:right="545" w:firstLine="638"/>
        <w:rPr>
          <w:rFonts w:hint="eastAsia" w:ascii="仿宋" w:hAnsi="仿宋" w:eastAsia="仿宋" w:cs="仿宋"/>
          <w:spacing w:val="1"/>
        </w:rPr>
      </w:pPr>
      <w:r>
        <w:rPr>
          <w:rFonts w:hint="eastAsia" w:ascii="仿宋" w:hAnsi="仿宋" w:eastAsia="仿宋" w:cs="仿宋"/>
          <w:spacing w:val="1"/>
        </w:rPr>
        <w:t>附件：</w:t>
      </w:r>
      <w:r>
        <w:rPr>
          <w:rFonts w:hint="eastAsia" w:ascii="仿宋" w:hAnsi="仿宋" w:eastAsia="仿宋" w:cs="仿宋"/>
          <w:spacing w:val="1"/>
          <w:lang w:val="en-US" w:eastAsia="zh-CN"/>
        </w:rPr>
        <w:t>马克思主义</w:t>
      </w:r>
      <w:r>
        <w:rPr>
          <w:rFonts w:hint="eastAsia" w:ascii="仿宋" w:hAnsi="仿宋" w:eastAsia="仿宋" w:cs="仿宋"/>
          <w:spacing w:val="1"/>
        </w:rPr>
        <w:t>学院 2021 年</w:t>
      </w:r>
      <w:r>
        <w:rPr>
          <w:rFonts w:hint="eastAsia" w:ascii="仿宋" w:hAnsi="仿宋" w:eastAsia="仿宋" w:cs="仿宋"/>
          <w:spacing w:val="1"/>
          <w:lang w:val="en-US" w:eastAsia="zh-CN"/>
        </w:rPr>
        <w:t>优秀</w:t>
      </w:r>
      <w:r>
        <w:rPr>
          <w:rFonts w:hint="eastAsia" w:ascii="仿宋" w:hAnsi="仿宋" w:eastAsia="仿宋" w:cs="仿宋"/>
          <w:spacing w:val="1"/>
        </w:rPr>
        <w:t>教师推荐表</w:t>
      </w:r>
    </w:p>
    <w:p>
      <w:pPr>
        <w:pStyle w:val="3"/>
        <w:ind w:left="1347"/>
      </w:pPr>
    </w:p>
    <w:p>
      <w:pPr>
        <w:pStyle w:val="3"/>
        <w:ind w:left="1347"/>
      </w:pPr>
    </w:p>
    <w:p>
      <w:pPr>
        <w:pStyle w:val="3"/>
        <w:spacing w:before="151" w:line="328" w:lineRule="auto"/>
        <w:ind w:left="708" w:right="545" w:firstLine="638"/>
        <w:rPr>
          <w:rFonts w:hint="eastAsia" w:ascii="仿宋" w:hAnsi="仿宋" w:eastAsia="仿宋" w:cs="仿宋"/>
          <w:spacing w:val="1"/>
        </w:rPr>
      </w:pPr>
    </w:p>
    <w:p>
      <w:pPr>
        <w:pStyle w:val="3"/>
        <w:spacing w:before="151" w:line="328" w:lineRule="auto"/>
        <w:ind w:right="545" w:firstLine="5474" w:firstLineChars="1700"/>
        <w:rPr>
          <w:rFonts w:hint="eastAsia" w:ascii="仿宋" w:hAnsi="仿宋" w:eastAsia="仿宋" w:cs="仿宋"/>
          <w:spacing w:val="1"/>
          <w:lang w:val="en-US" w:eastAsia="zh-CN"/>
        </w:rPr>
      </w:pPr>
      <w:r>
        <w:rPr>
          <w:rFonts w:hint="eastAsia" w:ascii="仿宋" w:hAnsi="仿宋" w:eastAsia="仿宋" w:cs="仿宋"/>
          <w:spacing w:val="1"/>
          <w:lang w:val="en-US" w:eastAsia="zh-CN"/>
        </w:rPr>
        <w:t>马克思主义学院</w:t>
      </w:r>
    </w:p>
    <w:p>
      <w:pPr>
        <w:pStyle w:val="3"/>
        <w:spacing w:before="151" w:line="328" w:lineRule="auto"/>
        <w:ind w:right="545" w:firstLine="5474" w:firstLineChars="1700"/>
        <w:rPr>
          <w:rFonts w:hint="default" w:ascii="仿宋" w:hAnsi="仿宋" w:eastAsia="仿宋" w:cs="仿宋"/>
          <w:spacing w:val="1"/>
          <w:lang w:val="en-US" w:eastAsia="zh-CN"/>
        </w:rPr>
      </w:pPr>
      <w:r>
        <w:rPr>
          <w:rFonts w:hint="eastAsia" w:ascii="仿宋" w:hAnsi="仿宋" w:eastAsia="仿宋" w:cs="仿宋"/>
          <w:spacing w:val="1"/>
          <w:lang w:val="en-US" w:eastAsia="zh-CN"/>
        </w:rPr>
        <w:t>2021年12月31日</w:t>
      </w:r>
    </w:p>
    <w:p>
      <w:pPr>
        <w:spacing w:line="314" w:lineRule="auto"/>
        <w:rPr>
          <w:rFonts w:ascii="宋体"/>
          <w:sz w:val="21"/>
        </w:rPr>
      </w:pPr>
    </w:p>
    <w:p>
      <w:pPr>
        <w:spacing w:line="314" w:lineRule="auto"/>
        <w:rPr>
          <w:rFonts w:ascii="宋体"/>
          <w:sz w:val="21"/>
        </w:rPr>
      </w:pPr>
    </w:p>
    <w:p>
      <w:pPr>
        <w:spacing w:line="314" w:lineRule="auto"/>
        <w:rPr>
          <w:rFonts w:ascii="宋体"/>
          <w:sz w:val="21"/>
        </w:rPr>
      </w:pPr>
    </w:p>
    <w:p>
      <w:pPr>
        <w:spacing w:line="315" w:lineRule="auto"/>
        <w:rPr>
          <w:rFonts w:ascii="宋体"/>
          <w:sz w:val="21"/>
        </w:rPr>
      </w:pPr>
    </w:p>
    <w:p>
      <w:pPr>
        <w:spacing w:before="91" w:line="180" w:lineRule="auto"/>
        <w:rPr>
          <w:rFonts w:ascii="宋体" w:hAnsi="宋体" w:eastAsia="宋体" w:cs="宋体"/>
          <w:sz w:val="28"/>
          <w:szCs w:val="28"/>
        </w:rPr>
      </w:pPr>
    </w:p>
    <w:sectPr>
      <w:footerReference r:id="rId5" w:type="default"/>
      <w:pgSz w:w="11906" w:h="16839"/>
      <w:pgMar w:top="1431" w:right="1473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08" w:hanging="319"/>
        <w:jc w:val="left"/>
      </w:pPr>
      <w:rPr>
        <w:rFonts w:hint="default" w:ascii="宋体" w:hAnsi="宋体" w:eastAsia="宋体" w:cs="宋体"/>
        <w:spacing w:val="-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4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9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33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8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2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7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12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56" w:hanging="319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08" w:hanging="319"/>
        <w:jc w:val="left"/>
      </w:pPr>
      <w:rPr>
        <w:rFonts w:hint="default" w:ascii="宋体" w:hAnsi="宋体" w:eastAsia="宋体" w:cs="宋体"/>
        <w:spacing w:val="-6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4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9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33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8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2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7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12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56" w:hanging="319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08" w:hanging="319"/>
        <w:jc w:val="left"/>
      </w:pPr>
      <w:rPr>
        <w:rFonts w:hint="default" w:ascii="宋体" w:hAnsi="宋体" w:eastAsia="宋体" w:cs="宋体"/>
        <w:spacing w:val="-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644" w:hanging="3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89" w:hanging="3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533" w:hanging="3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478" w:hanging="3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423" w:hanging="3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367" w:hanging="3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312" w:hanging="3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56" w:hanging="31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76404D"/>
    <w:rsid w:val="1EDF4E52"/>
    <w:rsid w:val="20FA3D68"/>
    <w:rsid w:val="3BBA164A"/>
    <w:rsid w:val="51AB53E8"/>
    <w:rsid w:val="681940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1"/>
    <w:pPr>
      <w:ind w:left="708" w:right="2102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708" w:right="692" w:firstLine="624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2021-12-27T09:52:00Z</dcterms:created>
  <dc:creator>User</dc:creator>
  <cp:lastModifiedBy>潇湘雨1418809274</cp:lastModifiedBy>
  <dcterms:modified xsi:type="dcterms:W3CDTF">2022-01-17T10:21:07Z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2022-01-05T16:10:24Z</vt:filetime>
  </property>
  <property fmtid="{D5CDD505-2E9C-101B-9397-08002B2CF9AE}" pid="4" name="KSOProductBuildVer">
    <vt:lpwstr>2052-11.1.0.11294</vt:lpwstr>
  </property>
  <property fmtid="{D5CDD505-2E9C-101B-9397-08002B2CF9AE}" pid="5" name="ICV">
    <vt:lpwstr>5A6BFB9968C846A78108E813DF0EF655</vt:lpwstr>
  </property>
</Properties>
</file>