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2" w:lineRule="auto"/>
        <w:ind w:left="319"/>
        <w:rPr>
          <w:rFonts w:hint="eastAsia" w:ascii="黑体" w:hAnsi="黑体" w:eastAsia="黑体" w:cs="黑体"/>
          <w:sz w:val="32"/>
          <w:szCs w:val="32"/>
        </w:rPr>
      </w:pPr>
      <w:r>
        <w:rPr>
          <w:rFonts w:hint="eastAsia" w:ascii="黑体" w:hAnsi="黑体" w:eastAsia="黑体" w:cs="黑体"/>
          <w:spacing w:val="-17"/>
          <w:sz w:val="32"/>
          <w:szCs w:val="32"/>
        </w:rPr>
        <w:t>附</w:t>
      </w:r>
      <w:r>
        <w:rPr>
          <w:rFonts w:hint="eastAsia" w:ascii="黑体" w:hAnsi="黑体" w:eastAsia="黑体" w:cs="黑体"/>
          <w:spacing w:val="-14"/>
          <w:sz w:val="32"/>
          <w:szCs w:val="32"/>
        </w:rPr>
        <w:t>件 1</w:t>
      </w:r>
      <w:bookmarkStart w:id="0" w:name="_GoBack"/>
      <w:bookmarkEnd w:id="0"/>
    </w:p>
    <w:p>
      <w:pPr>
        <w:spacing w:before="139" w:line="226" w:lineRule="auto"/>
        <w:ind w:left="4352"/>
        <w:rPr>
          <w:rFonts w:ascii="黑体" w:hAnsi="黑体" w:eastAsia="黑体" w:cs="黑体"/>
          <w:color w:val="2B2B2B"/>
          <w:spacing w:val="4"/>
          <w:sz w:val="31"/>
          <w:szCs w:val="31"/>
        </w:rPr>
      </w:pPr>
      <w:r>
        <w:rPr>
          <w:rFonts w:ascii="黑体" w:hAnsi="黑体" w:eastAsia="黑体" w:cs="黑体"/>
          <w:color w:val="2B2B2B"/>
          <w:spacing w:val="8"/>
          <w:sz w:val="31"/>
          <w:szCs w:val="31"/>
        </w:rPr>
        <w:t>20</w:t>
      </w:r>
      <w:r>
        <w:rPr>
          <w:rFonts w:hint="eastAsia" w:ascii="黑体" w:hAnsi="黑体" w:eastAsia="黑体" w:cs="黑体"/>
          <w:color w:val="2B2B2B"/>
          <w:spacing w:val="8"/>
          <w:sz w:val="31"/>
          <w:szCs w:val="31"/>
          <w:lang w:val="en-US" w:eastAsia="zh-CN"/>
        </w:rPr>
        <w:t>21</w:t>
      </w:r>
      <w:r>
        <w:rPr>
          <w:rFonts w:ascii="黑体" w:hAnsi="黑体" w:eastAsia="黑体" w:cs="黑体"/>
          <w:color w:val="2B2B2B"/>
          <w:spacing w:val="4"/>
          <w:sz w:val="31"/>
          <w:szCs w:val="31"/>
        </w:rPr>
        <w:t>年度校级教学改革研究项目立项名单</w:t>
      </w:r>
    </w:p>
    <w:tbl>
      <w:tblPr>
        <w:tblStyle w:val="4"/>
        <w:tblpPr w:leftFromText="180" w:rightFromText="180" w:vertAnchor="text" w:horzAnchor="page" w:tblpX="1536" w:tblpY="110"/>
        <w:tblOverlap w:val="never"/>
        <w:tblW w:w="13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27"/>
        <w:gridCol w:w="1244"/>
        <w:gridCol w:w="6636"/>
        <w:gridCol w:w="1620"/>
        <w:gridCol w:w="816"/>
        <w:gridCol w:w="1241"/>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blHeader/>
        </w:trPr>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项目编号</w:t>
            </w:r>
          </w:p>
        </w:tc>
        <w:tc>
          <w:tcPr>
            <w:tcW w:w="66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6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项目所在单位</w:t>
            </w:r>
          </w:p>
        </w:tc>
        <w:tc>
          <w:tcPr>
            <w:tcW w:w="20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项目主持人</w:t>
            </w:r>
          </w:p>
        </w:tc>
        <w:tc>
          <w:tcPr>
            <w:tcW w:w="107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blHead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12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6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16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81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姓名</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职称</w:t>
            </w:r>
          </w:p>
        </w:tc>
        <w:tc>
          <w:tcPr>
            <w:tcW w:w="107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XJY211001</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基于大学生电子设计大赛下模拟电子技术课程的实践教学研究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史二娜</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XJY211002</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应用型民办高校本科人文公选课程体系重构的探索与实践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公共课部</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黄英</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XJY211003</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多模态理论视角下“英语阅读”课程思政教学设计与案例研究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公共课部</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卜爽</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XJY211004</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基于PBL的车辆工程课程教学体系改革研究与实践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郝磊</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XJY211005</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思政元素融入机械制造技术基础课程的研究与实践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贾雄伟</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XJY211006</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任务驱动法在《铁路客运组织》课程教学实践中的应用</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胡小敏</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XJY211007</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应用型本科高校特色专业集群建设研究与实践——以西安交通工程学院为例</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教务处</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杨彦柱</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XJY211008</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通过科学构建课程过程性考核体系促进新时代教育评价改革 </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教务处</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孙华</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XJY211009</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学前教育专业人才培养性别差异化课程体系研究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人文与管理学院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郝柯羡</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XJY211010</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基于CDIO模式的交通工程省级一流专业建设研究与实践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杨瑞娟</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XJY211011</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线上线下混合式教学在混凝土结构基本原理课程中的应用研究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刘龙刚</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XJY211012</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“虚实结合”的光传输技术实验教学研究与实践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中兴通信学院</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张彦</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XJY211013</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产学研合作机制注入高校实验室建设研究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中兴通信学院</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董帆</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XJY212001</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基于LabView的虚拟仪器课程改革与实施</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中兴通信学院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刘雪峰</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XJY212002</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省级一流课程《铁路信号基础》的建设研究与实践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王茹玉</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XJY212003</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基于Docker的云计算技术在Linux课程中教学研究与实践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中兴通信学院</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杨碎明</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XJY212004</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一带一路视域下中国传统文化融入大学英语教学研究：以大学英语为例</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公共课部</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薄雪婷</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XJY212005</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大思政背景下高校思政课程教学改革探析</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组织部</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王宁宁</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XJY212006</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应用型创新人才培养计划与轨道交通信号与控制专业课程体系改革的研究与探索</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赵倩</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XJY212007</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新工科背景下校企协同育人机制研究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王兴仁</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XJY212008</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“互联网+”背景下产教融合、校企合作协同育人机制研究与实践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人文与管理学院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翟春霞</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XJY212009</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新工科建设背景下工程伦理观的培养</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满晨</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XJY212010</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新工科背景下工程造价专业师资建设研究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郑姗姗</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XJY212011</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新工科背景下“项目化岗位角色融入式”教学改革设计与实践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中兴通信学院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包正刚</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XJY212012</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新工科背景下“电波传输与天线”的课程改革与设计</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中兴通信学院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王菲</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XJY212013</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铁路货运组织实验室建设研究-以西安交通工程学院为例</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交通运输学院</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朱应莉</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XJY212014</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“互联网+”背景下电子商务课程体系整体优化与教学内容改革研究与实践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人文与管理学院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赵鲲鹏</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XJY212015</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OBE教育理念下思政课教育实践课程设计研究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思政课部</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刘晓航</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XJY212016</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新工科智能建造背景下建筑结构课程教学改革与研究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张紫红</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XJY212017</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面向互联网的学前教育资源共享平台构建探究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人文与管理学院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王盼</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XJY212018</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信号与系统课程教学创新研究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中兴通信学院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王昭</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XJY212019</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信息化背景下LTE虚拟仿真课程教学模式研究与实践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中兴通信学院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赵飞</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XJY212020</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基于反向PBL模式的C语言程序设计课程教学研究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中兴通信学院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薄博文</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XJY212021</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跨专业应用型人才创新能力培养</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中兴通信学院</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聂怡波</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高工</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XJY212022</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当代大学生就业压力及应对措施研究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就业指导中心</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郝文萌</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XJY212023</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PLC课程开放式实验教学探索研究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电气工程学院</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肖蕾蕾</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XJY212024</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基于轨道交通特色提升车辆工程专业毕业设计质量的研究与实践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机械工程学院</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罗森怡</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XJY212025</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新工科建设视域下科研反哺教学的问题与策略研究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科研处</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宋磊</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XJY212026</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民办高校“四史”教育融入思想政治理论课教学方法创新研究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思政课部</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李禾俊</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XJY212027</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基于土木类专业的土木工程制图课程教学改革研究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白青青</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XJY212028</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基于《车辆空调与制冷装置》课程线下线上混合式教学模式探索与实践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刘晶</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XJY212029</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虚拟仿真技术在轨道交通信号与控制专业《铁路通信系统》课程实践教学中的应用探究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尚丽莎</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XJY212030</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《传感器与检测技术》课程资源建设研究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徐根祺</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XJY212031</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项目式教学在轨道交通专业应用文写作教学中的实用探究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公共课部</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郝玉红</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XJY212032</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基于大数据分析的线上教学质量管控研究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公共课部</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肖楠</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XJY212033</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基于课程思政新理念的高职大学语文德育教育探究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公共课部</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张琳鹏</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XJY212034</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课程思政在“车辆制造与修理工艺”课程教学中的应用研究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李宁宁</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讲师、工程师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XJY212035</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混凝土结构基本原理课程思政建设探索与实践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石丹丹</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XJY212036</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通信原理课程思政教学改革研究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中兴通信学院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张培培</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XJY212037</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基于线上线下混合式教学的课程考核方式探索与实践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中兴通信学院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刘涛</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XJY212038</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民办应用型本科高校教学管理规范与创新性研究--以西安交通工程学院为例</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教务处</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臧凯</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XJY212039</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基于BIM技术和OBE理念的工程造价专业应用型人才培养研究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卢辉</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XJY212040</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基于BIM技术人才培养模式的探索</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李琳</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XJY212041</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基于创新创业的学生综合实践能力提升训练研究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中兴通信学院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刘学军</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XJY212042</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文化交融视阈下大学英语情感教学与文化教学转型研究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公共课部</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田静</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XJY213001</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“土木工程施工技术”课程的虚拟仿真教学模式应用研究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赵伟</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XJY213002</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基于现代学徒制的校企双主体协同育人模式研究</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人事处</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高利雯</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高级实验师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XJY213003</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基于实训教学的网络化教学资源开发的研究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实信处</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钟凡</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XJY213004</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基于能力培养的大学生职业生涯规化教学研究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招生办公室</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肖鹤</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XJY213005</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新工科背景下土木工程专业实践教学体系构建</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梁腾飞</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XJY213006</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高校专业课教师在课程思政实践中存在的问题及对策研究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高莉</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XJY213007</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车辆工程专业应用型人才培养途径的探索与实践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巨子琪</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XJY213008</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专业评估导向下高校物流管理专业人才培养质量体系研究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人文与管理学院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王花</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XJY213009</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新时代高校网络文化育人功能及价值研究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人文与管理学院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党楠</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XJY213010</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城市轨道交通车辆驾驶线上、线下教学方式融合改革</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白刚</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XJY213011</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在加强和改进新时代美育工作的时代背景下民办院校音乐学</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人文与管理学院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蒋雯晶</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XJY213012</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装配式建筑模式下建筑工程计量与计价课程研究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段乐婷</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XJY213013</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建筑工程计量与计价课程MOOC建设实践研究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张雨童</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XJY213014</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音乐学专业和声学课程教学模式改革研究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人文与管理学院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师冬冬</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XJY213015</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新文科视域下案例分析教学法在《学前心理学》课程教学中的探索与实践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人文与管理学院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宋文婧</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XJY213016</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VISSIM交通仿真软件在“交通工程导论”课程教学中的应用研究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程英鸽</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XJY213017</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讨论式教学及其衍生方法在高校思政课堂实践中的应用</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学生处</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李松柏</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XJY213018</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光的干涉实验教学方法研究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公共课部</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杨爱云</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XJY213019</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《液压气压传动与控制》课程的实验教学改革与创新</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机械工程学院</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张媛</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XJY213020</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应用型高校音乐学（师范类）专业声乐课程教学改革研究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人文与管理学院</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李梦阳</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XJY213021</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“双创”背景下大学生创业教育模式的研究与实践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贾寒霜</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XJY213022</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线上线下相结合的“挑战杯”大学生竞赛活动组织管理模式研究与实践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团委</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薛凯琳</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XJY213023</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“战疫”背景下线上与线下相结合教学模式的研究实践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刘颖璐</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助理工程师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XJY213024</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专题讨论训练法在相关课程中的研究与实践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刘浩</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XJY213025</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基于互联网平台的大学物理教学改革探索</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公共课部</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宋佳</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XJY213026</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基于PBL的《机械制图》课程改革与创新</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万琼</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XJY213027</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基于OBE理念的车辆专业教学运行管理研究与实践</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葛密桃</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助工</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XJY213028</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课程思政视角下红色文化融入大学英语课堂教学研究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公共课部</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吴鸿桃</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XJY213029</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《工程力学》融合课程思政的教学设计研究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赵树萍</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XJY213030</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民办应用型本科高校学籍管理工作改革的研究与实践</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教务处</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刘石</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XJY213031</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课程思政在高校钢琴课中的融合教学—以西安交通工程学院为例</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人文与管理学院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曹馨予</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XJY213032</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《土质土力学》课程思政内容探索与途径研究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贺小青</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XJY213033</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思政元素融入传感器技术及应用课程的改革研究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中兴通信学院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关云静</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XJY213034</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应用型本科高校课程考核改革研究与实践——以“计算机辅助设计”为例</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土木工程学院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薛婉婷</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助理实验师</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XJY213035</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基于实践能力提升的创新创业课程教学研究与探索</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科研处</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屈茹</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XJY213036</w:t>
            </w:r>
          </w:p>
        </w:tc>
        <w:tc>
          <w:tcPr>
            <w:tcW w:w="6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课程思政理念下高校就业指导课程改革路径探究</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招生办公室</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陈锦</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w:t>
            </w:r>
          </w:p>
        </w:tc>
      </w:tr>
    </w:tbl>
    <w:p>
      <w:pPr>
        <w:keepNext w:val="0"/>
        <w:keepLines w:val="0"/>
        <w:pageBreakBefore w:val="0"/>
        <w:widowControl/>
        <w:kinsoku w:val="0"/>
        <w:wordWrap/>
        <w:overflowPunct/>
        <w:topLinePunct w:val="0"/>
        <w:autoSpaceDE w:val="0"/>
        <w:autoSpaceDN w:val="0"/>
        <w:bidi w:val="0"/>
        <w:adjustRightInd w:val="0"/>
        <w:snapToGrid w:val="0"/>
        <w:spacing w:before="139" w:line="226" w:lineRule="auto"/>
        <w:ind w:left="4354"/>
        <w:jc w:val="left"/>
        <w:textAlignment w:val="baseline"/>
        <w:rPr>
          <w:rFonts w:ascii="黑体" w:hAnsi="黑体" w:eastAsia="黑体" w:cs="黑体"/>
          <w:color w:val="2B2B2B"/>
          <w:spacing w:val="4"/>
          <w:sz w:val="31"/>
          <w:szCs w:val="31"/>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pPr>
        <w:jc w:val="left"/>
        <w:rPr>
          <w:rFonts w:hint="default" w:eastAsia="宋体"/>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Arial"/>
    <w:panose1 w:val="00000000000000000000"/>
    <w:charset w:val="00"/>
    <w:family w:val="swiss"/>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铸字招牌黑W">
    <w:panose1 w:val="00020600040101010101"/>
    <w:charset w:val="86"/>
    <w:family w:val="auto"/>
    <w:pitch w:val="default"/>
    <w:sig w:usb0="8000043F" w:usb1="3AC17CFA" w:usb2="00000016"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MTRhYmJlNmFlOGFmNWRmYjFkNDY0NWUyNWQ0ZGYifQ=="/>
  </w:docVars>
  <w:rsids>
    <w:rsidRoot w:val="712E7BD3"/>
    <w:rsid w:val="16CC59BC"/>
    <w:rsid w:val="511A1CF1"/>
    <w:rsid w:val="54120217"/>
    <w:rsid w:val="712E7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link w:val="6"/>
    <w:qFormat/>
    <w:uiPriority w:val="0"/>
    <w:pPr>
      <w:autoSpaceDE w:val="0"/>
      <w:autoSpaceDN w:val="0"/>
      <w:spacing w:line="560" w:lineRule="exact"/>
      <w:ind w:left="0" w:firstLine="0" w:firstLineChars="0"/>
      <w:jc w:val="center"/>
      <w:outlineLvl w:val="0"/>
    </w:pPr>
    <w:rPr>
      <w:rFonts w:ascii="Noto Sans CJK JP Regular" w:hAnsi="Noto Sans CJK JP Regular" w:eastAsia="方正小标宋简体" w:cs="Noto Sans CJK JP Regular"/>
      <w:kern w:val="0"/>
      <w:sz w:val="32"/>
      <w:szCs w:val="28"/>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qFormat/>
    <w:uiPriority w:val="0"/>
    <w:pPr>
      <w:kinsoku w:val="0"/>
      <w:autoSpaceDE w:val="0"/>
      <w:autoSpaceDN w:val="0"/>
      <w:adjustRightInd w:val="0"/>
      <w:snapToGrid w:val="0"/>
      <w:spacing w:after="120" w:line="240" w:lineRule="auto"/>
      <w:jc w:val="left"/>
      <w:textAlignment w:val="baseline"/>
    </w:pPr>
    <w:rPr>
      <w:rFonts w:ascii="Times New Roman" w:hAnsi="Times New Roman" w:eastAsia="Arial" w:cs="Arial"/>
      <w:snapToGrid w:val="0"/>
      <w:color w:val="000000"/>
      <w:kern w:val="0"/>
      <w:sz w:val="21"/>
      <w:szCs w:val="24"/>
    </w:rPr>
  </w:style>
  <w:style w:type="character" w:customStyle="1" w:styleId="6">
    <w:name w:val="标题 1 Char"/>
    <w:basedOn w:val="5"/>
    <w:link w:val="3"/>
    <w:qFormat/>
    <w:uiPriority w:val="9"/>
    <w:rPr>
      <w:rFonts w:ascii="Noto Sans CJK JP Regular" w:hAnsi="Noto Sans CJK JP Regular" w:eastAsia="方正小标宋简体" w:cs="Noto Sans CJK JP Regular"/>
      <w:bCs/>
      <w:kern w:val="44"/>
      <w:sz w:val="32"/>
      <w:szCs w:val="44"/>
    </w:rPr>
  </w:style>
  <w:style w:type="paragraph" w:customStyle="1" w:styleId="7">
    <w:name w:val="课堂教学创新大赛材料汇编"/>
    <w:basedOn w:val="1"/>
    <w:uiPriority w:val="0"/>
    <w:rPr>
      <w:rFonts w:eastAsia="方正小标宋简体" w:asciiTheme="minorAscii" w:hAnsiTheme="minorAscii"/>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2022-06-15T02:23:00Z</dcterms:created>
  <dc:creator>妍</dc:creator>
  <cp:lastModifiedBy>妍</cp:lastModifiedBy>
  <dcterms:modified xsi:type="dcterms:W3CDTF">2022-06-15T02:23:50Z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D63F520B83514A57902D3BB168EE5E6D</vt:lpwstr>
  </property>
</Properties>
</file>